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157480</wp:posOffset>
            </wp:positionH>
            <wp:positionV relativeFrom="page">
              <wp:posOffset>294640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328930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4"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200"/>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80"/>
        <w:spacing w:after="0"/>
        <w:rPr>
          <w:sz w:val="20"/>
          <w:szCs w:val="20"/>
          <w:color w:val="auto"/>
        </w:rPr>
      </w:pPr>
      <w:r>
        <w:rPr>
          <w:rFonts w:ascii="Arial" w:cs="Arial" w:eastAsia="Arial" w:hAnsi="Arial"/>
          <w:sz w:val="18"/>
          <w:szCs w:val="18"/>
          <w:color w:val="auto"/>
        </w:rPr>
        <w:t>For the month of November, 2017</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20"/>
        <w:spacing w:after="0" w:line="207" w:lineRule="exact"/>
        <w:tabs>
          <w:tab w:leader="none" w:pos="580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tabs>
          <w:tab w:leader="none" w:pos="58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tabs>
          <w:tab w:leader="none" w:pos="58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2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November 1, 2017</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628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920" w:type="dxa"/>
            <w:vAlign w:val="bottom"/>
          </w:tcPr>
          <w:p>
            <w:pPr>
              <w:ind w:left="6280"/>
              <w:spacing w:after="0"/>
              <w:rPr>
                <w:sz w:val="20"/>
                <w:szCs w:val="20"/>
                <w:color w:val="auto"/>
              </w:rPr>
            </w:pPr>
            <w:r>
              <w:rPr>
                <w:rFonts w:ascii="Arial" w:cs="Arial" w:eastAsia="Arial" w:hAnsi="Arial"/>
                <w:sz w:val="18"/>
                <w:szCs w:val="18"/>
                <w:color w:val="auto"/>
              </w:rPr>
              <w:t>Name:</w:t>
            </w:r>
          </w:p>
        </w:tc>
        <w:tc>
          <w:tcPr>
            <w:tcW w:w="4500" w:type="dxa"/>
            <w:vAlign w:val="bottom"/>
          </w:tcPr>
          <w:p>
            <w:pPr>
              <w:ind w:left="160"/>
              <w:spacing w:after="0"/>
              <w:rPr>
                <w:sz w:val="20"/>
                <w:szCs w:val="20"/>
                <w:color w:val="auto"/>
              </w:rPr>
            </w:pPr>
            <w:r>
              <w:rPr>
                <w:rFonts w:ascii="Arial" w:cs="Arial" w:eastAsia="Arial" w:hAnsi="Arial"/>
                <w:sz w:val="18"/>
                <w:szCs w:val="18"/>
                <w:color w:val="auto"/>
              </w:rPr>
              <w:t>Pierre Dulin</w:t>
            </w:r>
          </w:p>
        </w:tc>
      </w:tr>
      <w:tr>
        <w:trPr>
          <w:trHeight w:val="230"/>
        </w:trPr>
        <w:tc>
          <w:tcPr>
            <w:tcW w:w="6920" w:type="dxa"/>
            <w:vAlign w:val="bottom"/>
          </w:tcPr>
          <w:p>
            <w:pPr>
              <w:ind w:left="6280"/>
              <w:spacing w:after="0"/>
              <w:rPr>
                <w:sz w:val="20"/>
                <w:szCs w:val="20"/>
                <w:color w:val="auto"/>
              </w:rPr>
            </w:pPr>
            <w:r>
              <w:rPr>
                <w:rFonts w:ascii="Arial" w:cs="Arial" w:eastAsia="Arial" w:hAnsi="Arial"/>
                <w:sz w:val="18"/>
                <w:szCs w:val="18"/>
                <w:color w:val="auto"/>
              </w:rPr>
              <w:t>Title:</w:t>
            </w:r>
          </w:p>
        </w:tc>
        <w:tc>
          <w:tcPr>
            <w:tcW w:w="4500" w:type="dxa"/>
            <w:vAlign w:val="bottom"/>
          </w:tcPr>
          <w:p>
            <w:pPr>
              <w:ind w:left="160"/>
              <w:spacing w:after="0"/>
              <w:rPr>
                <w:sz w:val="20"/>
                <w:szCs w:val="20"/>
                <w:color w:val="auto"/>
              </w:rPr>
            </w:pPr>
            <w:r>
              <w:rPr>
                <w:rFonts w:ascii="Arial" w:cs="Arial" w:eastAsia="Arial" w:hAnsi="Arial"/>
                <w:sz w:val="18"/>
                <w:szCs w:val="18"/>
                <w:color w:val="auto"/>
              </w:rPr>
              <w:t>General Manager</w:t>
            </w:r>
          </w:p>
        </w:tc>
      </w:tr>
      <w:tr>
        <w:trPr>
          <w:trHeight w:val="675"/>
        </w:trPr>
        <w:tc>
          <w:tcPr>
            <w:tcW w:w="6920" w:type="dxa"/>
            <w:vAlign w:val="bottom"/>
            <w:tcBorders>
              <w:bottom w:val="single" w:sz="8" w:color="auto"/>
            </w:tcBorders>
          </w:tcPr>
          <w:p>
            <w:pPr>
              <w:spacing w:after="0"/>
              <w:rPr>
                <w:sz w:val="24"/>
                <w:szCs w:val="24"/>
                <w:color w:val="auto"/>
              </w:rPr>
            </w:pPr>
          </w:p>
        </w:tc>
        <w:tc>
          <w:tcPr>
            <w:tcW w:w="45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3021965</wp:posOffset>
            </wp:positionH>
            <wp:positionV relativeFrom="page">
              <wp:posOffset>586105</wp:posOffset>
            </wp:positionV>
            <wp:extent cx="1483360" cy="6775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1483360" cy="6775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CHANGE TO BOARD OF DIRECTORS</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November 1, 2017 </w:t>
      </w:r>
      <w:r>
        <w:rPr>
          <w:rFonts w:ascii="Arial" w:cs="Arial" w:eastAsia="Arial" w:hAnsi="Arial"/>
          <w:sz w:val="18"/>
          <w:szCs w:val="18"/>
          <w:color w:val="auto"/>
        </w:rPr>
        <w:t>- Banco Latinoamericano de Comercio Exterior, S.A. (Bladex) (NYSE: BLX), announces that Ms.</w:t>
      </w:r>
      <w:r>
        <w:rPr>
          <w:rFonts w:ascii="Arial" w:cs="Arial" w:eastAsia="Arial" w:hAnsi="Arial"/>
          <w:sz w:val="18"/>
          <w:szCs w:val="18"/>
          <w:b w:val="1"/>
          <w:bCs w:val="1"/>
          <w:color w:val="auto"/>
        </w:rPr>
        <w:t xml:space="preserve"> </w:t>
      </w:r>
      <w:r>
        <w:rPr>
          <w:rFonts w:ascii="Arial" w:cs="Arial" w:eastAsia="Arial" w:hAnsi="Arial"/>
          <w:sz w:val="18"/>
          <w:szCs w:val="18"/>
          <w:color w:val="auto"/>
        </w:rPr>
        <w:t>Maria da Graça França, a Class “E” Director of Bladex’s Board of Directors has retired as of October 31, 2017. Ms. França was a member of the Audit and Compliance Committee, as well as a member of the Nomination and Compensation Committee.</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Board of Directors has appointed Mr. Roland Holst to replace Ms. França. Mr. Holst will serve for the remainder of Ms. França’s original term, due to expire in April 2019.</w:t>
      </w:r>
    </w:p>
    <w:p>
      <w:pPr>
        <w:spacing w:after="0" w:line="170"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initiated operations in 1979 to promote foreign trade finance and economic integration in the Region.</w:t>
      </w:r>
    </w:p>
    <w:p>
      <w:pPr>
        <w:spacing w:after="0" w:line="17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170"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access Bladex’s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5956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50430" cy="595630"/>
                    </a:xfrm>
                    <a:prstGeom prst="rect">
                      <a:avLst/>
                    </a:prstGeom>
                    <a:noFill/>
                  </pic:spPr>
                </pic:pic>
              </a:graphicData>
            </a:graphic>
          </wp:anchor>
        </w:drawing>
      </w:r>
    </w:p>
    <w:p>
      <w:pPr>
        <w:spacing w:after="0" w:line="246" w:lineRule="exact"/>
        <w:rPr>
          <w:sz w:val="20"/>
          <w:szCs w:val="20"/>
          <w:color w:val="auto"/>
        </w:rPr>
      </w:pPr>
    </w:p>
    <w:p>
      <w:pPr>
        <w:ind w:left="140"/>
        <w:spacing w:after="0"/>
        <w:rPr>
          <w:sz w:val="20"/>
          <w:szCs w:val="20"/>
          <w:color w:val="auto"/>
        </w:rPr>
      </w:pPr>
      <w:r>
        <w:rPr>
          <w:rFonts w:ascii="Arial" w:cs="Arial" w:eastAsia="Arial" w:hAnsi="Arial"/>
          <w:sz w:val="18"/>
          <w:szCs w:val="18"/>
          <w:color w:val="auto"/>
        </w:rPr>
        <w:t>Irma Garrido Arango – SVP, Corporate Development and Investor Relations</w:t>
      </w:r>
    </w:p>
    <w:p>
      <w:pPr>
        <w:spacing w:after="0" w:line="23" w:lineRule="exact"/>
        <w:rPr>
          <w:sz w:val="20"/>
          <w:szCs w:val="20"/>
          <w:color w:val="auto"/>
        </w:rPr>
      </w:pPr>
    </w:p>
    <w:p>
      <w:pPr>
        <w:ind w:left="140"/>
        <w:spacing w:after="0"/>
        <w:rPr>
          <w:sz w:val="20"/>
          <w:szCs w:val="20"/>
          <w:color w:val="auto"/>
        </w:rPr>
      </w:pPr>
      <w:r>
        <w:rPr>
          <w:rFonts w:ascii="Arial" w:cs="Arial" w:eastAsia="Arial" w:hAnsi="Arial"/>
          <w:sz w:val="18"/>
          <w:szCs w:val="18"/>
          <w:color w:val="auto"/>
        </w:rPr>
        <w:t>E-mail address: igarrido@bladex.com. Tel.: (+507) 210-8559</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Head Office Address: Torre V, Bussiness Park, Avenida La Rotonda, Urb. Cosa del Este,</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460375</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2020-01-18T16:51:06Z</dcterms:created>
  <dcterms:modified xsi:type="dcterms:W3CDTF">2020-01-18T16:51:06Z</dcterms:modified>
</cp:coreProperties>
</file>